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800" w:lineRule="exact"/>
        <w:jc w:val="center"/>
        <w:rPr>
          <w:rFonts w:hint="eastAsia" w:ascii="Times New Roman" w:eastAsia="Times New Roman"/>
          <w:color w:val="FF0000"/>
          <w:w w:val="75"/>
          <w:sz w:val="140"/>
          <w:szCs w:val="24"/>
        </w:rPr>
      </w:pPr>
      <w:bookmarkStart w:id="0" w:name="_GoBack"/>
      <w:bookmarkEnd w:id="0"/>
      <w:r>
        <w:rPr>
          <w:rFonts w:hint="default" w:hAnsi="宋体"/>
          <w:b/>
          <w:color w:val="FF0000"/>
          <w:spacing w:val="20"/>
          <w:w w:val="80"/>
          <w:kern w:val="2"/>
          <w:sz w:val="100"/>
          <w:szCs w:val="24"/>
        </w:rPr>
        <w:t>台州科技职业学院</w:t>
      </w:r>
    </w:p>
    <w:p>
      <w:pPr>
        <w:widowControl/>
        <w:snapToGrid w:val="0"/>
        <w:spacing w:line="520" w:lineRule="exact"/>
        <w:jc w:val="center"/>
        <w:rPr>
          <w:rFonts w:hint="default" w:hAnsi="宋体"/>
          <w:b/>
          <w:snapToGrid w:val="0"/>
          <w:color w:val="4A4A4A"/>
          <w:sz w:val="44"/>
          <w:szCs w:val="24"/>
        </w:rPr>
      </w:pPr>
      <w:r>
        <w:rPr>
          <w:rFonts w:hint="default" w:hAnsi="宋体"/>
          <w:color w:val="FF0000"/>
          <w:sz w:val="32"/>
          <w:szCs w:val="24"/>
        </w:rPr>
        <w:t>━━━━━━━━━━━━━━━━━━━━━━</w:t>
      </w:r>
    </w:p>
    <w:p>
      <w:pPr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Times New Roman" w:eastAsia="仿宋_GB2312"/>
          <w:sz w:val="32"/>
          <w:szCs w:val="24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24"/>
        </w:rPr>
        <w:t>教务处〔202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24"/>
        </w:rPr>
        <w:t>〕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24"/>
        </w:rPr>
        <w:t>号</w:t>
      </w:r>
    </w:p>
    <w:p>
      <w:pPr>
        <w:pStyle w:val="2"/>
        <w:kinsoku w:val="0"/>
        <w:overflowPunct w:val="0"/>
        <w:spacing w:line="700" w:lineRule="exact"/>
        <w:ind w:left="0"/>
        <w:jc w:val="center"/>
        <w:rPr>
          <w:rFonts w:hint="eastAsia" w:ascii="Times New Roman" w:hAnsi="Times New Roman" w:eastAsia="Times New Roman"/>
          <w:color w:val="000000"/>
          <w:kern w:val="2"/>
          <w:sz w:val="44"/>
          <w:szCs w:val="24"/>
        </w:rPr>
      </w:pPr>
    </w:p>
    <w:p>
      <w:pPr>
        <w:autoSpaceDE/>
        <w:autoSpaceDN/>
        <w:adjustRightInd/>
        <w:jc w:val="center"/>
        <w:rPr>
          <w:rFonts w:hint="eastAsia" w:ascii="微软雅黑" w:hAnsi="微软雅黑" w:eastAsia="微软雅黑"/>
          <w:kern w:val="2"/>
          <w:sz w:val="44"/>
          <w:szCs w:val="24"/>
        </w:rPr>
      </w:pPr>
      <w:r>
        <w:rPr>
          <w:rFonts w:hint="eastAsia" w:ascii="微软雅黑" w:hAnsi="微软雅黑" w:eastAsia="微软雅黑"/>
          <w:kern w:val="2"/>
          <w:sz w:val="44"/>
          <w:szCs w:val="24"/>
        </w:rPr>
        <w:t>关于开展对202</w:t>
      </w:r>
      <w:r>
        <w:rPr>
          <w:rFonts w:hint="eastAsia" w:ascii="微软雅黑" w:hAnsi="微软雅黑" w:eastAsia="微软雅黑"/>
          <w:kern w:val="2"/>
          <w:sz w:val="4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kern w:val="2"/>
          <w:sz w:val="44"/>
          <w:szCs w:val="24"/>
        </w:rPr>
        <w:t>-202</w:t>
      </w:r>
      <w:r>
        <w:rPr>
          <w:rFonts w:hint="eastAsia" w:ascii="微软雅黑" w:hAnsi="微软雅黑" w:eastAsia="微软雅黑"/>
          <w:kern w:val="2"/>
          <w:sz w:val="4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kern w:val="2"/>
          <w:sz w:val="44"/>
          <w:szCs w:val="24"/>
        </w:rPr>
        <w:t>学年第</w:t>
      </w:r>
      <w:r>
        <w:rPr>
          <w:rFonts w:hint="eastAsia" w:ascii="微软雅黑" w:hAnsi="微软雅黑" w:eastAsia="微软雅黑"/>
          <w:kern w:val="2"/>
          <w:sz w:val="44"/>
          <w:szCs w:val="24"/>
          <w:lang w:val="en-US" w:eastAsia="zh-CN"/>
        </w:rPr>
        <w:t>一</w:t>
      </w:r>
      <w:r>
        <w:rPr>
          <w:rFonts w:hint="eastAsia" w:ascii="微软雅黑" w:hAnsi="微软雅黑" w:eastAsia="微软雅黑"/>
          <w:kern w:val="2"/>
          <w:sz w:val="44"/>
          <w:szCs w:val="24"/>
        </w:rPr>
        <w:t>学期</w:t>
      </w:r>
    </w:p>
    <w:p>
      <w:pPr>
        <w:autoSpaceDE/>
        <w:autoSpaceDN/>
        <w:adjustRightInd/>
        <w:jc w:val="center"/>
        <w:rPr>
          <w:rFonts w:hint="eastAsia" w:ascii="微软雅黑" w:hAnsi="微软雅黑" w:eastAsia="微软雅黑"/>
          <w:kern w:val="2"/>
          <w:sz w:val="44"/>
          <w:szCs w:val="24"/>
        </w:rPr>
      </w:pPr>
      <w:r>
        <w:rPr>
          <w:rFonts w:hint="eastAsia" w:ascii="微软雅黑" w:hAnsi="微软雅黑" w:eastAsia="微软雅黑"/>
          <w:kern w:val="2"/>
          <w:sz w:val="44"/>
          <w:szCs w:val="24"/>
          <w:lang w:eastAsia="zh-CN"/>
        </w:rPr>
        <w:t>毕业设计和</w:t>
      </w:r>
      <w:r>
        <w:rPr>
          <w:rFonts w:hint="eastAsia" w:ascii="微软雅黑" w:hAnsi="微软雅黑" w:eastAsia="微软雅黑"/>
          <w:kern w:val="2"/>
          <w:sz w:val="44"/>
          <w:szCs w:val="24"/>
        </w:rPr>
        <w:t>期末考试相关材料专项检查的通知</w:t>
      </w:r>
    </w:p>
    <w:p>
      <w:pPr>
        <w:widowControl/>
        <w:autoSpaceDE/>
        <w:autoSpaceDN/>
        <w:spacing w:line="360" w:lineRule="auto"/>
        <w:jc w:val="both"/>
        <w:rPr>
          <w:rFonts w:hint="eastAsia" w:ascii="Times New Roman" w:eastAsia="仿宋_GB2312"/>
          <w:color w:val="000000"/>
          <w:sz w:val="32"/>
          <w:szCs w:val="24"/>
        </w:rPr>
      </w:pPr>
    </w:p>
    <w:p>
      <w:pPr>
        <w:autoSpaceDE/>
        <w:autoSpaceDN/>
        <w:snapToGrid w:val="0"/>
        <w:spacing w:line="560" w:lineRule="exact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各二级学院、各职能部门：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为切实推进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学校高质量发展</w:t>
      </w:r>
      <w:r>
        <w:rPr>
          <w:rFonts w:hint="eastAsia" w:ascii="仿宋_GB2312" w:eastAsia="仿宋_GB2312"/>
          <w:kern w:val="2"/>
          <w:sz w:val="32"/>
          <w:szCs w:val="24"/>
        </w:rPr>
        <w:t>，根据学校《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聚焦全省高校综合考核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 xml:space="preserve">  坚持高质量发展主题  加快推进浙江省特色鲜明的高水平高职院校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建设》（2024年开学工作部署会）精神，对照《台州科技职业学院内部质量保证体系诊断与改进工作实施办法（试</w:t>
      </w:r>
      <w:r>
        <w:rPr>
          <w:rFonts w:hint="eastAsia" w:ascii="仿宋_GB2312" w:eastAsia="仿宋_GB2312"/>
          <w:kern w:val="2"/>
          <w:sz w:val="32"/>
          <w:szCs w:val="24"/>
        </w:rPr>
        <w:t>行）》（台科院〔2019〕26号）等文件规定，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专业人才培养方案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《毕业实践教学环节工作规范》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和《台州科技职业学院考核规程》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kern w:val="2"/>
          <w:sz w:val="32"/>
          <w:szCs w:val="24"/>
        </w:rPr>
        <w:t>提高课程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课堂</w:t>
      </w:r>
      <w:r>
        <w:rPr>
          <w:rFonts w:hint="eastAsia" w:ascii="仿宋_GB2312" w:eastAsia="仿宋_GB2312"/>
          <w:kern w:val="2"/>
          <w:sz w:val="32"/>
          <w:szCs w:val="24"/>
        </w:rPr>
        <w:t>教学的有效性，客观、准确地检验教和学的效果。经研究决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定，开展202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学年第一学期毕业设计和期末考试相关</w:t>
      </w:r>
      <w:r>
        <w:rPr>
          <w:rFonts w:hint="eastAsia" w:ascii="仿宋_GB2312" w:eastAsia="仿宋_GB2312"/>
          <w:kern w:val="2"/>
          <w:sz w:val="32"/>
          <w:szCs w:val="24"/>
        </w:rPr>
        <w:t>材料专项检查，现将有关事项通知如下，请认真抓好落实。</w:t>
      </w:r>
    </w:p>
    <w:p>
      <w:pPr>
        <w:autoSpaceDE/>
        <w:autoSpaceDN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一、二级学院自查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24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毕业设计相关</w:t>
      </w:r>
      <w:r>
        <w:rPr>
          <w:rFonts w:hint="eastAsia" w:ascii="仿宋_GB2312" w:eastAsia="仿宋_GB2312"/>
          <w:kern w:val="2"/>
          <w:sz w:val="32"/>
          <w:szCs w:val="24"/>
        </w:rPr>
        <w:t>材料专项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根据学校《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关于做好2024届毕业设计（论文）和毕业岗位实习工作的通知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》（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教务处〔20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23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〕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 xml:space="preserve">43 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号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）的要求，结合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学院实际和专业特色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进行全面的自查自纠工作。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2.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期末考试相关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材料专项检查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根据学校《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关于做好20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23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一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学期期末考试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考查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）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有关事项的通知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》（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教务处〔20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23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〕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 xml:space="preserve">57 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号</w:t>
      </w:r>
      <w:r>
        <w:rPr>
          <w:rFonts w:hint="eastAsia" w:ascii="仿宋_GB2312" w:eastAsia="仿宋_GB2312" w:cs="Times New Roman"/>
          <w:kern w:val="2"/>
          <w:sz w:val="32"/>
          <w:szCs w:val="24"/>
          <w:lang w:eastAsia="zh-CN"/>
        </w:rPr>
        <w:t>）的要求，结合《台州科技职业学院考核规程》进行全范围的自查，有错则改，以便更进一步地规范课程考核和成绩的公平公正。</w:t>
      </w: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二、学校检查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学校成立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九</w:t>
      </w:r>
      <w:r>
        <w:rPr>
          <w:rFonts w:hint="eastAsia" w:ascii="仿宋_GB2312" w:eastAsia="仿宋_GB2312"/>
          <w:kern w:val="2"/>
          <w:sz w:val="32"/>
          <w:szCs w:val="24"/>
        </w:rPr>
        <w:t>个检查组（分组安排见附件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/>
          <w:kern w:val="2"/>
          <w:sz w:val="32"/>
          <w:szCs w:val="24"/>
        </w:rPr>
        <w:t>），在本学期第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三</w:t>
      </w:r>
      <w:r>
        <w:rPr>
          <w:rFonts w:hint="eastAsia" w:ascii="仿宋_GB2312" w:eastAsia="仿宋_GB2312"/>
          <w:kern w:val="2"/>
          <w:sz w:val="32"/>
          <w:szCs w:val="24"/>
        </w:rPr>
        <w:t>周（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kern w:val="2"/>
          <w:sz w:val="32"/>
          <w:szCs w:val="24"/>
        </w:rPr>
        <w:t>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kern w:val="2"/>
          <w:sz w:val="32"/>
          <w:szCs w:val="24"/>
        </w:rPr>
        <w:t>日—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11</w:t>
      </w:r>
      <w:r>
        <w:rPr>
          <w:rFonts w:hint="eastAsia" w:ascii="仿宋_GB2312" w:eastAsia="仿宋_GB2312"/>
          <w:kern w:val="2"/>
          <w:sz w:val="32"/>
          <w:szCs w:val="24"/>
        </w:rPr>
        <w:t>日），由各组组长带队到所联系的二级学院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进行</w:t>
      </w:r>
      <w:r>
        <w:rPr>
          <w:rFonts w:hint="eastAsia" w:ascii="仿宋_GB2312" w:eastAsia="仿宋_GB2312"/>
          <w:kern w:val="2"/>
          <w:sz w:val="32"/>
          <w:szCs w:val="24"/>
        </w:rPr>
        <w:t>检查。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1.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各检查组先</w:t>
      </w:r>
      <w:r>
        <w:rPr>
          <w:rFonts w:hint="eastAsia" w:ascii="仿宋_GB2312" w:eastAsia="仿宋_GB2312"/>
          <w:kern w:val="2"/>
          <w:sz w:val="32"/>
          <w:szCs w:val="24"/>
        </w:rPr>
        <w:t>听取二级学院关于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毕业设计和</w:t>
      </w:r>
      <w:r>
        <w:rPr>
          <w:rFonts w:hint="eastAsia" w:ascii="仿宋_GB2312" w:eastAsia="仿宋_GB2312"/>
          <w:kern w:val="2"/>
          <w:sz w:val="32"/>
          <w:szCs w:val="24"/>
        </w:rPr>
        <w:t>期末考试相关材料自查的汇报；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2.严格检查本学期所有专业毕业设计相关材料，检查毕业设计的选题、撰写质量和评分，重点检查学生的优秀毕业设计，包括毕业设计的选题、设计格式、撰写质量和评分，；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3.每个学院</w:t>
      </w:r>
      <w:r>
        <w:rPr>
          <w:rFonts w:hint="eastAsia" w:ascii="仿宋_GB2312" w:eastAsia="仿宋_GB2312"/>
          <w:kern w:val="2"/>
          <w:sz w:val="32"/>
          <w:szCs w:val="24"/>
        </w:rPr>
        <w:t>随机抽取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3个班级的</w:t>
      </w:r>
      <w:r>
        <w:rPr>
          <w:rFonts w:hint="eastAsia" w:ascii="仿宋_GB2312" w:eastAsia="仿宋_GB2312"/>
          <w:kern w:val="2"/>
          <w:sz w:val="32"/>
          <w:szCs w:val="24"/>
        </w:rPr>
        <w:t>的期末考试相关材料进行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严格检</w:t>
      </w:r>
      <w:r>
        <w:rPr>
          <w:rFonts w:hint="eastAsia" w:ascii="仿宋_GB2312" w:eastAsia="仿宋_GB2312"/>
          <w:kern w:val="2"/>
          <w:sz w:val="32"/>
          <w:szCs w:val="24"/>
        </w:rPr>
        <w:t>查；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kern w:val="2"/>
          <w:sz w:val="32"/>
          <w:szCs w:val="24"/>
        </w:rPr>
        <w:t>.检查组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严格组织，认真检查，如实</w:t>
      </w:r>
      <w:r>
        <w:rPr>
          <w:rFonts w:hint="eastAsia" w:ascii="仿宋_GB2312" w:eastAsia="仿宋_GB2312"/>
          <w:kern w:val="2"/>
          <w:sz w:val="32"/>
          <w:szCs w:val="24"/>
        </w:rPr>
        <w:t>反馈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毕业设计和</w:t>
      </w:r>
      <w:r>
        <w:rPr>
          <w:rFonts w:hint="eastAsia" w:ascii="仿宋_GB2312" w:eastAsia="仿宋_GB2312"/>
          <w:kern w:val="2"/>
          <w:sz w:val="32"/>
          <w:szCs w:val="24"/>
        </w:rPr>
        <w:t>期末考试相关材料抽查情况；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24"/>
          <w:lang w:eastAsia="zh-CN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kern w:val="2"/>
          <w:sz w:val="32"/>
          <w:szCs w:val="24"/>
        </w:rPr>
        <w:t>.各检查组于活动结束后，由各组记录人负责整理、汇总形成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真实的</w:t>
      </w:r>
      <w:r>
        <w:rPr>
          <w:rFonts w:hint="eastAsia" w:ascii="仿宋_GB2312" w:eastAsia="仿宋_GB2312"/>
          <w:kern w:val="2"/>
          <w:sz w:val="32"/>
          <w:szCs w:val="24"/>
        </w:rPr>
        <w:t>检查报告，于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kern w:val="2"/>
          <w:sz w:val="32"/>
          <w:szCs w:val="24"/>
        </w:rPr>
        <w:t>月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15</w:t>
      </w:r>
      <w:r>
        <w:rPr>
          <w:rFonts w:hint="eastAsia" w:ascii="仿宋_GB2312" w:eastAsia="仿宋_GB2312"/>
          <w:kern w:val="2"/>
          <w:sz w:val="32"/>
          <w:szCs w:val="24"/>
        </w:rPr>
        <w:t>日前发给教务处徐微雅老师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，择期召开由各学院领导班子参加的总结大会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；</w:t>
      </w: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default" w:ascii="仿宋_GB2312" w:eastAsia="仿宋_GB2312"/>
          <w:kern w:val="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kern w:val="2"/>
          <w:sz w:val="32"/>
          <w:szCs w:val="24"/>
        </w:rPr>
        <w:t>.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各检查组推荐各专业优秀毕业设计2篇，以二级学院为单位修改后上交教务处徐微雅老师，装订成册供大家学习。</w:t>
      </w:r>
    </w:p>
    <w:p>
      <w:pPr>
        <w:widowControl/>
        <w:autoSpaceDE/>
        <w:autoSpaceDN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autoSpaceDE/>
        <w:autoSpaceDN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24"/>
        </w:rPr>
      </w:pPr>
      <w:r>
        <w:rPr>
          <w:rFonts w:hint="eastAsia" w:ascii="仿宋_GB2312" w:eastAsia="仿宋_GB2312" w:cs="Times New Roman"/>
          <w:kern w:val="2"/>
          <w:sz w:val="32"/>
          <w:szCs w:val="24"/>
        </w:rPr>
        <w:t>附件1：202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-202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学年第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/>
        </w:rPr>
        <w:t>一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学期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毕业设计和</w:t>
      </w:r>
      <w:r>
        <w:rPr>
          <w:rFonts w:hint="eastAsia" w:ascii="仿宋_GB2312" w:eastAsia="仿宋_GB2312" w:cs="Times New Roman"/>
          <w:kern w:val="2"/>
          <w:sz w:val="32"/>
          <w:szCs w:val="24"/>
        </w:rPr>
        <w:t>期末考试相关材料专项检查分组安排</w:t>
      </w: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autoSpaceDE/>
        <w:autoSpaceDN/>
        <w:adjustRightInd/>
        <w:spacing w:line="360" w:lineRule="auto"/>
        <w:ind w:firstLine="640" w:firstLineChars="200"/>
        <w:jc w:val="both"/>
        <w:rPr>
          <w:rFonts w:hint="eastAsia" w:ascii="Times New Roman" w:eastAsia="Times New Roman"/>
          <w:color w:val="000000"/>
          <w:sz w:val="32"/>
          <w:szCs w:val="24"/>
        </w:rPr>
      </w:pPr>
    </w:p>
    <w:p>
      <w:pPr>
        <w:widowControl/>
        <w:wordWrap w:val="0"/>
        <w:autoSpaceDE/>
        <w:autoSpaceDN/>
        <w:adjustRightInd/>
        <w:spacing w:line="360" w:lineRule="auto"/>
        <w:ind w:firstLine="3520" w:firstLineChars="1100"/>
        <w:jc w:val="both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教务处     教学督导与质量评估处　</w:t>
      </w:r>
    </w:p>
    <w:p>
      <w:pPr>
        <w:widowControl/>
        <w:wordWrap w:val="0"/>
        <w:autoSpaceDE/>
        <w:autoSpaceDN/>
        <w:adjustRightInd/>
        <w:spacing w:line="360" w:lineRule="auto"/>
        <w:ind w:firstLine="4800" w:firstLineChars="1500"/>
        <w:jc w:val="both"/>
        <w:rPr>
          <w:rFonts w:hint="eastAsia" w:ascii="Times New Roman" w:eastAsia="Times New Roman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202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24"/>
        </w:rPr>
        <w:t>年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24"/>
        </w:rPr>
        <w:t>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24"/>
        </w:rPr>
        <w:t>日</w:t>
      </w:r>
      <w:r>
        <w:rPr>
          <w:rFonts w:hint="eastAsia" w:ascii="Times New Roman" w:eastAsia="仿宋_GB2312"/>
          <w:color w:val="000000"/>
          <w:sz w:val="32"/>
          <w:szCs w:val="24"/>
        </w:rPr>
        <w:t>　　　　</w:t>
      </w: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  <w:sectPr>
          <w:footerReference r:id="rId3" w:type="default"/>
          <w:pgSz w:w="11910" w:h="16840"/>
          <w:pgMar w:top="1984" w:right="1474" w:bottom="2098" w:left="1587" w:header="0" w:footer="1661" w:gutter="0"/>
          <w:lnNumType w:countBy="0" w:distance="360"/>
          <w:cols w:space="720" w:num="1"/>
        </w:sectPr>
      </w:pPr>
    </w:p>
    <w:p>
      <w:pPr>
        <w:pStyle w:val="5"/>
        <w:spacing w:beforeLines="0" w:afterLines="0" w:line="500" w:lineRule="exact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附件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24"/>
        </w:rPr>
        <w:t>：</w:t>
      </w:r>
    </w:p>
    <w:p>
      <w:pPr>
        <w:pStyle w:val="5"/>
        <w:spacing w:beforeLines="0" w:after="312" w:afterLines="100" w:line="500" w:lineRule="exact"/>
        <w:jc w:val="center"/>
        <w:outlineLvl w:val="2"/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/>
          <w:sz w:val="32"/>
          <w:szCs w:val="24"/>
        </w:rPr>
        <w:t>202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24"/>
        </w:rPr>
        <w:t>-202</w:t>
      </w:r>
      <w:r>
        <w:rPr>
          <w:rFonts w:hint="eastAsia" w:ascii="黑体" w:eastAsia="黑体"/>
          <w:b/>
          <w:sz w:val="32"/>
          <w:szCs w:val="24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24"/>
        </w:rPr>
        <w:t>学年第</w:t>
      </w:r>
      <w:r>
        <w:rPr>
          <w:rFonts w:hint="eastAsia" w:ascii="黑体" w:eastAsia="黑体"/>
          <w:b/>
          <w:sz w:val="32"/>
          <w:szCs w:val="24"/>
          <w:lang w:eastAsia="zh-CN"/>
        </w:rPr>
        <w:t>一</w:t>
      </w:r>
      <w:r>
        <w:rPr>
          <w:rFonts w:hint="eastAsia" w:ascii="黑体" w:eastAsia="黑体"/>
          <w:b/>
          <w:sz w:val="32"/>
          <w:szCs w:val="24"/>
        </w:rPr>
        <w:t>学期</w:t>
      </w:r>
      <w:r>
        <w:rPr>
          <w:rFonts w:hint="eastAsia" w:ascii="黑体" w:eastAsia="黑体"/>
          <w:b/>
          <w:sz w:val="32"/>
          <w:szCs w:val="24"/>
          <w:lang w:eastAsia="zh-CN"/>
        </w:rPr>
        <w:t>毕业设计和</w:t>
      </w:r>
      <w:r>
        <w:rPr>
          <w:rFonts w:hint="eastAsia" w:ascii="黑体" w:eastAsia="黑体"/>
          <w:b/>
          <w:sz w:val="32"/>
          <w:szCs w:val="24"/>
        </w:rPr>
        <w:t>期末考试相关材料专项检查分组安排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00"/>
        <w:gridCol w:w="2412"/>
        <w:gridCol w:w="6113"/>
        <w:gridCol w:w="98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带队组长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1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二级学院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参加人员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w w:val="9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  <w:szCs w:val="24"/>
              </w:rPr>
              <w:t>记录人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1"/>
              <w:widowControl/>
              <w:spacing w:beforeLines="0" w:afterLines="0" w:line="240" w:lineRule="exact"/>
              <w:jc w:val="center"/>
              <w:rPr>
                <w:rFonts w:hint="eastAsia" w:ascii="楷体_GB2312" w:hAnsi="宋体" w:eastAsia="楷体_GB2312"/>
                <w:w w:val="9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  <w:szCs w:val="24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李方超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农业与生物工程学院（乡村振兴学院）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李  莉、姜仁荣、戴震敏、李东举、曹天一、赵宣博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林别雨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刘珍珍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项姬秀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机电与模具工程学院（长鹰无人机学院）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李　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  <w:t>辉、</w:t>
            </w: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  <w:t>傅嬿霖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  <w:t>、刘　谱、孙家齐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、林冰沁、章日泉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陈  微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罗勇波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倪红霜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赵雪莲、傅香红、</w:t>
            </w:r>
            <w:r>
              <w:rPr>
                <w:rFonts w:hint="default" w:ascii="楷体_GB2312" w:hAnsi="宋体" w:eastAsia="楷体_GB2312" w:cs="Times New Roman"/>
                <w:sz w:val="24"/>
                <w:szCs w:val="24"/>
                <w:lang w:val="en-US" w:eastAsia="zh-CN"/>
              </w:rPr>
              <w:t>俞燕燕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、邹文董、王  硕、王娴磬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韩伶俐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凌代红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梁玲娜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经贸管理学院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张　诚、刘　慧、王钟云、徐霓影、谢雨欣、杨钗灵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金玲玲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任亚丽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郑高花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会计与金融学院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王秀萍、赵效萍、魏广志、孙丽敏、毛颢瑾、肖徽徽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卢雪琼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张伟坤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冯尚坤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人文教育学院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丛建民、应巧艳、徐海菊、</w:t>
            </w:r>
            <w:r>
              <w:rPr>
                <w:rFonts w:hint="default" w:ascii="楷体_GB2312" w:hAnsi="宋体" w:eastAsia="楷体_GB2312" w:cs="Times New Roman"/>
                <w:sz w:val="24"/>
                <w:szCs w:val="24"/>
                <w:lang w:val="en-US" w:eastAsia="zh-CN"/>
              </w:rPr>
              <w:t>欧阳琪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、陈  锋、王洪杰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梁  璟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任建平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公共基础学院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黄  辉、王海萍、沈海青、李艳杰、庞  然、周忠诚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戴雪婷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刘晓爽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吴天强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黄道友、童宁江、刘观生、金小骞、陈子轩、黄  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罗  茜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潘一未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韦海忠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温岭学院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曾希君、马荣飞、李方超、王文明、王雨晴、徐微雅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彭彬倩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闫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9"/>
              <w:widowControl/>
              <w:spacing w:beforeLines="0" w:afterLines="0" w:line="240" w:lineRule="exact"/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备注：1.各组联络人协调检查时间（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日—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日），并通知组内成员；</w:t>
            </w:r>
          </w:p>
          <w:p>
            <w:pPr>
              <w:pStyle w:val="19"/>
              <w:widowControl/>
              <w:spacing w:beforeLines="0" w:afterLines="0" w:line="240" w:lineRule="exact"/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2.各组记录人负责记录、整理、汇总资料，撰写检查报告，于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日前将检查报告发给教务处徐微雅老师。</w:t>
            </w:r>
          </w:p>
        </w:tc>
      </w:tr>
    </w:tbl>
    <w:p>
      <w:pPr>
        <w:pStyle w:val="2"/>
        <w:kinsoku w:val="0"/>
        <w:overflowPunct w:val="0"/>
        <w:spacing w:before="132"/>
        <w:ind w:left="0"/>
        <w:rPr>
          <w:rFonts w:hint="eastAsia" w:ascii="楷体_GB2312" w:eastAsia="楷体_GB2312"/>
          <w:kern w:val="2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  <w:sectPr>
          <w:pgSz w:w="16840" w:h="11910" w:orient="landscape"/>
          <w:pgMar w:top="1587" w:right="1984" w:bottom="1474" w:left="2098" w:header="0" w:footer="1661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p>
      <w:pPr>
        <w:pStyle w:val="2"/>
        <w:kinsoku w:val="0"/>
        <w:overflowPunct w:val="0"/>
        <w:spacing w:before="132"/>
        <w:ind w:left="0"/>
        <w:rPr>
          <w:rFonts w:hint="eastAsia" w:ascii="Times New Roman" w:hAnsi="Times New Roman" w:eastAsia="Times New Roman"/>
          <w:sz w:val="28"/>
          <w:szCs w:val="24"/>
        </w:rPr>
      </w:pPr>
    </w:p>
    <w:tbl>
      <w:tblPr>
        <w:tblStyle w:val="6"/>
        <w:tblW w:w="0" w:type="auto"/>
        <w:tblInd w:w="41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exact"/>
        </w:trPr>
        <w:tc>
          <w:tcPr>
            <w:tcW w:w="937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22"/>
              <w:tabs>
                <w:tab w:val="left" w:pos="6128"/>
              </w:tabs>
              <w:kinsoku w:val="0"/>
              <w:overflowPunct w:val="0"/>
              <w:spacing w:line="314" w:lineRule="exact"/>
              <w:ind w:firstLine="140" w:firstLineChars="50"/>
              <w:jc w:val="both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 xml:space="preserve">台州科技职业学院教务处  </w:t>
            </w:r>
            <w:r>
              <w:rPr>
                <w:rFonts w:hint="eastAsia" w:ascii="Times New Roman" w:eastAsia="Times New Roman"/>
                <w:kern w:val="2"/>
                <w:sz w:val="28"/>
                <w:szCs w:val="24"/>
              </w:rPr>
              <w:t xml:space="preserve">  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教学督导与质量评估处</w:t>
            </w:r>
            <w:r>
              <w:rPr>
                <w:rFonts w:hint="eastAsia" w:ascii="Times New Roman" w:eastAsia="Times New Roman"/>
                <w:kern w:val="2"/>
                <w:sz w:val="28"/>
                <w:szCs w:val="24"/>
              </w:rPr>
              <w:t xml:space="preserve">      202</w:t>
            </w:r>
            <w:r>
              <w:rPr>
                <w:rFonts w:hint="eastAsia" w:ascii="Times New Roman" w:eastAsia="宋体"/>
                <w:kern w:val="2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年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月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eastAsia="仿宋_GB2312"/>
                <w:kern w:val="2"/>
                <w:sz w:val="28"/>
                <w:szCs w:val="24"/>
              </w:rPr>
              <w:t>日印发</w:t>
            </w:r>
          </w:p>
        </w:tc>
      </w:tr>
    </w:tbl>
    <w:p>
      <w:pPr>
        <w:spacing w:line="40" w:lineRule="exact"/>
        <w:rPr>
          <w:rFonts w:hint="eastAsia" w:ascii="Times New Roman" w:eastAsia="Times New Roman"/>
          <w:sz w:val="24"/>
          <w:szCs w:val="24"/>
        </w:rPr>
      </w:pPr>
    </w:p>
    <w:sectPr>
      <w:pgSz w:w="11910" w:h="16840"/>
      <w:pgMar w:top="1984" w:right="1474" w:bottom="2098" w:left="1587" w:header="0" w:footer="166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hint="default"/>
        <w:sz w:val="20"/>
        <w:szCs w:val="24"/>
      </w:rPr>
    </w:pPr>
    <w:r>
      <w:rPr>
        <w:rFonts w:hint="default"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0390" cy="46101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 w:hAnsi="宋体"/>
                              <w:sz w:val="28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hAnsi="宋体"/>
                              <w:sz w:val="28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6.3pt;width:45.7pt;mso-position-horizontal:center;mso-position-horizontal-relative:margin;z-index:251659264;mso-width-relative:page;mso-height-relative:page;" filled="f" stroked="f" coordsize="21600,21600" o:gfxdata="UEsDBAoAAAAAAIdO4kAAAAAAAAAAAAAAAAAEAAAAZHJzL1BLAwQUAAAACACHTuJAS17IpdQAAAAD&#10;AQAADwAAAGRycy9kb3ducmV2LnhtbE2PzU7DMBCE70i8g7VI3KidCgUa4lQIwQkJkYYDRyfeJlbj&#10;dYjdH96ehQu9rDSa0cy35frkR3HAObpAGrKFAoHUBeuo1/DRvNzcg4jJkDVjINTwjRHW1eVFaQob&#10;jlTjYZN6wSUUC6NhSGkqpIzdgN7ERZiQ2NuG2ZvEcu6lnc2Ry/0ol0rl0htHvDCYCZ8G7Habvdfw&#10;+En1s/t6a9/rbe2aZqXoNd9pfX2VqQcQCU/pPwy/+IwOFTO1YU82ilEDP5L+Lnur7BZEq+FumYOs&#10;SnnOXv0AUEsDBBQAAAAIAIdO4kDfNSvZ2AEAAKQDAAAOAAAAZHJzL2Uyb0RvYy54bWytU82O0zAQ&#10;viPxDpbv1OkurJao6UpQLUJCgLTwAK7jNJZsjxm7TcoDwBtw4sJ9n6vPwThJuz9c9sDFGc+MP3/f&#10;58niqneW7TRGA77i81nBmfYKauM3Ff/65frFJWcxSV9LC15XfK8jv1o+f7boQqnPoAVba2QE4mPZ&#10;hYq3KYVSiKha7WScQdCeig2gk4m2uBE1yo7QnRVnRXEhOsA6ICgdI2VXY5FPiPgUQGgao/QK1NZp&#10;n0ZU1FYmkhRbEyJfDmybRqv0qWmiTsxWnJSmYaVLKF7nVSwXstygDK1REwX5FAqPNDlpPF16glrJ&#10;JNkWzT9QziiECE2aKXBiFDI4QirmxSNvbloZ9KCFrI7hZHr8f7Dq4+4zMlPTJHDmpaMHP/z6efh9&#10;e/jzg51ne7oQS+q6CdSX+jfQ59YpHymZVfcNuvwlPYzqZO7+ZK7uE1OUfHVZnL+miqLSy4s5qc0o&#10;4u5wwJjeaXAsBxVHervBUrn7ENPYemzJd3m4NtZSXpbWP0gQZs6IzHxkmKPUr/uJ9hrqPamhn4Du&#10;aQG/c9bRCFQ8fttK1JzZ9548zvNyDPAYrI+B9IqOVjxxNoZv0zhX24Bm0xLyYNPAgh5vkDoNWp6O&#10;+/uB693Ptf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17IpdQAAAADAQAADwAAAAAAAAABACAA&#10;AAAiAAAAZHJzL2Rvd25yZXYueG1sUEsBAhQAFAAAAAgAh07iQN81K9nYAQAApAMAAA4AAAAAAAAA&#10;AQAgAAAAI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 w:hAnsi="宋体"/>
                        <w:sz w:val="28"/>
                        <w:szCs w:val="24"/>
                      </w:rPr>
                      <w:t>－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2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 w:hAnsi="宋体"/>
                        <w:sz w:val="28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Times New Roman" w:eastAsia="Times New Roman"/>
        <w:sz w:val="18"/>
        <w:szCs w:val="24"/>
      </w:rPr>
    </w:pPr>
  </w:p>
  <w:p>
    <w:pPr>
      <w:pStyle w:val="2"/>
      <w:kinsoku w:val="0"/>
      <w:overflowPunct w:val="0"/>
      <w:spacing w:line="14" w:lineRule="auto"/>
      <w:ind w:left="0"/>
      <w:rPr>
        <w:rFonts w:hint="default"/>
        <w:sz w:val="20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06708"/>
    <w:rsid w:val="151528D8"/>
    <w:rsid w:val="162A2263"/>
    <w:rsid w:val="1EC711FA"/>
    <w:rsid w:val="228C02F6"/>
    <w:rsid w:val="24BA1B60"/>
    <w:rsid w:val="366108DC"/>
    <w:rsid w:val="411D4B8C"/>
    <w:rsid w:val="4668289C"/>
    <w:rsid w:val="4D394FAE"/>
    <w:rsid w:val="538C051D"/>
    <w:rsid w:val="57CD2DF0"/>
    <w:rsid w:val="66293129"/>
    <w:rsid w:val="67E64FE6"/>
    <w:rsid w:val="78694A98"/>
    <w:rsid w:val="795D311A"/>
    <w:rsid w:val="7B7000F5"/>
    <w:rsid w:val="7BE93580"/>
    <w:rsid w:val="7CD30EBB"/>
    <w:rsid w:val="BFDE5A02"/>
    <w:rsid w:val="FD15A93B"/>
    <w:rsid w:val="FEFF1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1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宋体" w:hAnsi="Times New Roman" w:eastAsia="宋体"/>
      <w:sz w:val="24"/>
      <w:szCs w:val="24"/>
      <w:lang w:val="en-US" w:eastAsia="zh-CN"/>
    </w:rPr>
  </w:style>
  <w:style w:type="character" w:default="1" w:styleId="8">
    <w:name w:val="Default Paragraph Font"/>
    <w:unhideWhenUsed/>
    <w:uiPriority w:val="99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ind w:left="772"/>
    </w:pPr>
    <w:rPr>
      <w:rFonts w:hint="default" w:hAnsi="宋体"/>
      <w:sz w:val="32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24"/>
    </w:rPr>
  </w:style>
  <w:style w:type="paragraph" w:styleId="5">
    <w:name w:val="Normal (Web)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/>
      <w:kern w:val="2"/>
      <w:sz w:val="24"/>
      <w:szCs w:val="24"/>
      <w:lang w:val="en-US" w:eastAsia="zh-CN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nhideWhenUsed/>
    <w:uiPriority w:val="99"/>
    <w:rPr>
      <w:rFonts w:hint="default"/>
      <w:color w:val="800080"/>
      <w:sz w:val="24"/>
      <w:szCs w:val="24"/>
      <w:u w:val="single"/>
    </w:rPr>
  </w:style>
  <w:style w:type="character" w:styleId="10">
    <w:name w:val="Hyperlink"/>
    <w:unhideWhenUsed/>
    <w:uiPriority w:val="99"/>
    <w:rPr>
      <w:rFonts w:hint="default"/>
      <w:color w:val="0000FF"/>
      <w:sz w:val="24"/>
      <w:szCs w:val="24"/>
      <w:u w:val="single"/>
    </w:rPr>
  </w:style>
  <w:style w:type="character" w:customStyle="1" w:styleId="11">
    <w:name w:val="フッター (文字)"/>
    <w:link w:val="3"/>
    <w:unhideWhenUsed/>
    <w:locked/>
    <w:uiPriority w:val="99"/>
    <w:rPr>
      <w:rFonts w:hint="default"/>
      <w:sz w:val="18"/>
      <w:szCs w:val="24"/>
    </w:rPr>
  </w:style>
  <w:style w:type="character" w:customStyle="1" w:styleId="12">
    <w:name w:val="font51"/>
    <w:unhideWhenUsed/>
    <w:qFormat/>
    <w:uiPriority w:val="0"/>
    <w:rPr>
      <w:rFonts w:hint="default" w:ascii="宋体" w:hAnsi="宋体" w:eastAsia="宋体"/>
      <w:b/>
      <w:color w:val="000000"/>
      <w:sz w:val="32"/>
      <w:szCs w:val="24"/>
    </w:rPr>
  </w:style>
  <w:style w:type="character" w:customStyle="1" w:styleId="13">
    <w:name w:val="ヘッダー (文字)"/>
    <w:link w:val="4"/>
    <w:unhideWhenUsed/>
    <w:locked/>
    <w:uiPriority w:val="99"/>
    <w:rPr>
      <w:rFonts w:hint="default"/>
      <w:sz w:val="18"/>
      <w:szCs w:val="24"/>
    </w:rPr>
  </w:style>
  <w:style w:type="character" w:customStyle="1" w:styleId="14">
    <w:name w:val="本文 (文字)"/>
    <w:link w:val="2"/>
    <w:unhideWhenUsed/>
    <w:locked/>
    <w:uiPriority w:val="99"/>
    <w:rPr>
      <w:rFonts w:hint="default"/>
      <w:sz w:val="24"/>
      <w:szCs w:val="24"/>
    </w:rPr>
  </w:style>
  <w:style w:type="paragraph" w:customStyle="1" w:styleId="15">
    <w:name w:val="xl80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styleId="16">
    <w:name w:val="List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17">
    <w:name w:val="xl71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b/>
      <w:sz w:val="24"/>
      <w:szCs w:val="24"/>
    </w:rPr>
  </w:style>
  <w:style w:type="paragraph" w:customStyle="1" w:styleId="18">
    <w:name w:val="xl84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19">
    <w:name w:val="st0420"/>
    <w:unhideWhenUsed/>
    <w:qFormat/>
    <w:uiPriority w:val="0"/>
    <w:pPr>
      <w:widowControl w:val="0"/>
      <w:spacing w:beforeLines="0" w:afterLines="0" w:line="400" w:lineRule="exact"/>
      <w:jc w:val="both"/>
    </w:pPr>
    <w:rPr>
      <w:rFonts w:hint="default" w:ascii="宋体" w:hAnsi="Times New Roman" w:eastAsia="宋体"/>
      <w:kern w:val="2"/>
      <w:sz w:val="24"/>
      <w:szCs w:val="24"/>
      <w:lang w:val="en-US" w:eastAsia="zh-CN"/>
    </w:rPr>
  </w:style>
  <w:style w:type="paragraph" w:customStyle="1" w:styleId="20">
    <w:name w:val="font5"/>
    <w:basedOn w:val="1"/>
    <w:unhideWhenUsed/>
    <w:uiPriority w:val="0"/>
    <w:pPr>
      <w:widowControl/>
      <w:autoSpaceDE/>
      <w:autoSpaceDN/>
      <w:adjustRightInd/>
      <w:spacing w:before="100" w:beforeAutospacing="1" w:after="100" w:afterAutospacing="1"/>
    </w:pPr>
    <w:rPr>
      <w:rFonts w:hint="default" w:hAnsi="宋体"/>
      <w:sz w:val="18"/>
      <w:szCs w:val="24"/>
    </w:rPr>
  </w:style>
  <w:style w:type="paragraph" w:customStyle="1" w:styleId="21">
    <w:name w:val="xl87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2">
    <w:name w:val="Table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23">
    <w:name w:val="xl78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4">
    <w:name w:val="xl75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25">
    <w:name w:val="xl74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6">
    <w:name w:val="xl76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7">
    <w:name w:val="xl79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28">
    <w:name w:val="xl86"/>
    <w:basedOn w:val="1"/>
    <w:unhideWhenUsed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29">
    <w:name w:val="xl73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0">
    <w:name w:val="xl83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1">
    <w:name w:val="st515"/>
    <w:unhideWhenUsed/>
    <w:qFormat/>
    <w:uiPriority w:val="0"/>
    <w:pPr>
      <w:widowControl w:val="0"/>
      <w:spacing w:beforeLines="0" w:afterLines="0" w:line="300" w:lineRule="exact"/>
      <w:jc w:val="both"/>
    </w:pPr>
    <w:rPr>
      <w:rFonts w:hint="default" w:ascii="宋体" w:hAnsi="Times New Roman" w:eastAsia="宋体"/>
      <w:kern w:val="2"/>
      <w:sz w:val="21"/>
      <w:szCs w:val="24"/>
      <w:lang w:val="en-US" w:eastAsia="zh-CN"/>
    </w:rPr>
  </w:style>
  <w:style w:type="paragraph" w:customStyle="1" w:styleId="32">
    <w:name w:val="xl85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3">
    <w:name w:val="xl89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4">
    <w:name w:val="xl77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5">
    <w:name w:val="xl88"/>
    <w:basedOn w:val="1"/>
    <w:unhideWhenUsed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6">
    <w:name w:val="xl72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  <w:style w:type="paragraph" w:customStyle="1" w:styleId="37">
    <w:name w:val="msonormal"/>
    <w:basedOn w:val="1"/>
    <w:unhideWhenUsed/>
    <w:uiPriority w:val="0"/>
    <w:pPr>
      <w:widowControl/>
      <w:autoSpaceDE/>
      <w:autoSpaceDN/>
      <w:adjustRightInd/>
      <w:spacing w:before="100" w:beforeAutospacing="1" w:after="100" w:afterAutospacing="1"/>
    </w:pPr>
    <w:rPr>
      <w:rFonts w:hint="default" w:hAnsi="宋体"/>
      <w:sz w:val="24"/>
      <w:szCs w:val="24"/>
    </w:rPr>
  </w:style>
  <w:style w:type="paragraph" w:customStyle="1" w:styleId="38">
    <w:name w:val="xl82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color w:val="000000"/>
      <w:sz w:val="22"/>
      <w:szCs w:val="24"/>
    </w:rPr>
  </w:style>
  <w:style w:type="paragraph" w:customStyle="1" w:styleId="39">
    <w:name w:val="xl81"/>
    <w:basedOn w:val="1"/>
    <w:unhideWhenUsed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int="default" w:hAnsi="宋体"/>
      <w:sz w:val="22"/>
      <w:szCs w:val="24"/>
    </w:rPr>
  </w:style>
  <w:style w:type="paragraph" w:customStyle="1" w:styleId="40">
    <w:name w:val="xl90"/>
    <w:basedOn w:val="1"/>
    <w:unhideWhenUsed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hint="default" w:hAnsi="宋体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2023-03-21T09:19:27Z</dcterms:created>
  <dc:creator>wei</dc:creator>
  <cp:lastModifiedBy>我不是微雅</cp:lastModifiedBy>
  <dcterms:modified xsi:type="dcterms:W3CDTF">2024-02-27T04:47:01Z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B8276FD549434CE2A1B82EED28389A80_13</vt:lpwstr>
  </property>
</Properties>
</file>